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6A2E0" w14:textId="77777777" w:rsidR="00244568" w:rsidRDefault="00244568" w:rsidP="0072340E">
      <w:pPr>
        <w:pStyle w:val="NoSpacing"/>
        <w:jc w:val="both"/>
        <w:rPr>
          <w:b/>
        </w:rPr>
      </w:pPr>
    </w:p>
    <w:p w14:paraId="7DF6A2E1" w14:textId="77777777" w:rsidR="00244568" w:rsidRPr="0072340E" w:rsidRDefault="00244568" w:rsidP="00244568">
      <w:pPr>
        <w:pStyle w:val="NoSpacing"/>
        <w:jc w:val="center"/>
      </w:pPr>
      <w:r w:rsidRPr="0072340E">
        <w:t>POLICY: FORMAT OF AUTOPSY REPORTS</w:t>
      </w:r>
    </w:p>
    <w:p w14:paraId="7DF6A2E2" w14:textId="77777777" w:rsidR="00244568" w:rsidRDefault="00244568" w:rsidP="0072340E">
      <w:pPr>
        <w:pStyle w:val="NoSpacing"/>
        <w:jc w:val="both"/>
        <w:rPr>
          <w:b/>
        </w:rPr>
      </w:pPr>
    </w:p>
    <w:p w14:paraId="7DF6A2E3" w14:textId="77777777" w:rsidR="0072340E" w:rsidRPr="006D412C" w:rsidRDefault="0072340E" w:rsidP="0072340E">
      <w:pPr>
        <w:pStyle w:val="NoSpacing"/>
        <w:jc w:val="both"/>
        <w:rPr>
          <w:b/>
        </w:rPr>
      </w:pPr>
      <w:r w:rsidRPr="006D412C">
        <w:rPr>
          <w:b/>
        </w:rPr>
        <w:t>Policy:</w:t>
      </w:r>
      <w:r w:rsidRPr="006D412C">
        <w:rPr>
          <w:b/>
        </w:rPr>
        <w:tab/>
      </w:r>
    </w:p>
    <w:p w14:paraId="7DF6A2E4" w14:textId="77777777" w:rsidR="0072340E" w:rsidRDefault="0072340E" w:rsidP="0072340E">
      <w:pPr>
        <w:pStyle w:val="NoSpacing"/>
        <w:jc w:val="both"/>
      </w:pPr>
      <w:r>
        <w:tab/>
        <w:t xml:space="preserve">Autopsy reports are prepared by the examining pathologist for every autopsy performed. The  </w:t>
      </w:r>
      <w:r>
        <w:tab/>
        <w:t xml:space="preserve">narrative report is dictated upon completion of the postmortem exam. Typed reports present in </w:t>
      </w:r>
      <w:r>
        <w:tab/>
        <w:t xml:space="preserve">a standard format and are signed by the pathologist who performed the postmortem </w:t>
      </w:r>
      <w:r>
        <w:tab/>
        <w:t xml:space="preserve">examination. The records of autopsy examinations are made available to parties as identified in </w:t>
      </w:r>
      <w:r>
        <w:tab/>
        <w:t>the Sec. 19a-401-12 of regulations established by the Commission on Medicolegal Investigations.</w:t>
      </w:r>
    </w:p>
    <w:p w14:paraId="7DF6A2E5" w14:textId="77777777" w:rsidR="00FF1CB2" w:rsidRDefault="00FF1CB2" w:rsidP="0072340E">
      <w:pPr>
        <w:pStyle w:val="NoSpacing"/>
        <w:jc w:val="both"/>
      </w:pPr>
    </w:p>
    <w:p w14:paraId="7DF6A2E6" w14:textId="77777777" w:rsidR="0072340E" w:rsidRPr="0072340E" w:rsidRDefault="0072340E" w:rsidP="0072340E">
      <w:pPr>
        <w:pStyle w:val="NoSpacing"/>
        <w:jc w:val="both"/>
        <w:rPr>
          <w:b/>
        </w:rPr>
      </w:pPr>
      <w:r w:rsidRPr="0072340E">
        <w:rPr>
          <w:b/>
        </w:rPr>
        <w:t>Procedure:</w:t>
      </w:r>
    </w:p>
    <w:p w14:paraId="7DF6A2E7" w14:textId="77777777" w:rsidR="0072340E" w:rsidRDefault="0072340E" w:rsidP="0072340E">
      <w:pPr>
        <w:pStyle w:val="NoSpacing"/>
        <w:numPr>
          <w:ilvl w:val="0"/>
          <w:numId w:val="1"/>
        </w:numPr>
        <w:jc w:val="both"/>
      </w:pPr>
      <w:r>
        <w:t>The pathologist will prepare a narrative report for each autopsy examination, upon completion of the exam, which includes:</w:t>
      </w:r>
    </w:p>
    <w:p w14:paraId="7DF6A2E8" w14:textId="77777777" w:rsidR="0072340E" w:rsidRDefault="0072340E" w:rsidP="0072340E">
      <w:pPr>
        <w:pStyle w:val="NoSpacing"/>
        <w:numPr>
          <w:ilvl w:val="0"/>
          <w:numId w:val="2"/>
        </w:numPr>
        <w:jc w:val="both"/>
      </w:pPr>
      <w:r>
        <w:t>the case number;</w:t>
      </w:r>
    </w:p>
    <w:p w14:paraId="7DF6A2E9" w14:textId="77777777" w:rsidR="0072340E" w:rsidRDefault="0072340E" w:rsidP="0072340E">
      <w:pPr>
        <w:pStyle w:val="NoSpacing"/>
        <w:numPr>
          <w:ilvl w:val="0"/>
          <w:numId w:val="2"/>
        </w:numPr>
        <w:jc w:val="both"/>
      </w:pPr>
      <w:r>
        <w:t>the name of deceased, if known;</w:t>
      </w:r>
    </w:p>
    <w:p w14:paraId="7DF6A2EA" w14:textId="77777777" w:rsidR="0072340E" w:rsidRDefault="0072340E" w:rsidP="0072340E">
      <w:pPr>
        <w:pStyle w:val="NoSpacing"/>
        <w:numPr>
          <w:ilvl w:val="0"/>
          <w:numId w:val="2"/>
        </w:numPr>
        <w:jc w:val="both"/>
      </w:pPr>
      <w:r>
        <w:t>the date, place, and time of examination, and names of observers from outside the agency (when applicable);</w:t>
      </w:r>
    </w:p>
    <w:p w14:paraId="7DF6A2EB" w14:textId="77777777" w:rsidR="00FF1CB2" w:rsidRDefault="00FF1CB2" w:rsidP="0072340E">
      <w:pPr>
        <w:pStyle w:val="NoSpacing"/>
        <w:numPr>
          <w:ilvl w:val="0"/>
          <w:numId w:val="2"/>
        </w:numPr>
        <w:jc w:val="both"/>
      </w:pPr>
      <w:r>
        <w:t>the name of other OCME Medical Examiners present at the time of examination.</w:t>
      </w:r>
    </w:p>
    <w:p w14:paraId="7DF6A2EC" w14:textId="77777777" w:rsidR="0072340E" w:rsidRDefault="0072340E" w:rsidP="0072340E">
      <w:pPr>
        <w:pStyle w:val="NoSpacing"/>
        <w:numPr>
          <w:ilvl w:val="0"/>
          <w:numId w:val="2"/>
        </w:numPr>
        <w:jc w:val="both"/>
      </w:pPr>
      <w:r>
        <w:t>observations of the clothing and personal property, external examination and internal examination (when performed);</w:t>
      </w:r>
    </w:p>
    <w:p w14:paraId="7DF6A2ED" w14:textId="77777777" w:rsidR="0072340E" w:rsidRDefault="0072340E" w:rsidP="0072340E">
      <w:pPr>
        <w:pStyle w:val="NoSpacing"/>
        <w:numPr>
          <w:ilvl w:val="0"/>
          <w:numId w:val="2"/>
        </w:numPr>
        <w:jc w:val="both"/>
      </w:pPr>
      <w:r>
        <w:t>a description of internal and external injuries (remarking when none are found);</w:t>
      </w:r>
    </w:p>
    <w:p w14:paraId="7DF6A2EE" w14:textId="77777777" w:rsidR="0072340E" w:rsidRDefault="0072340E" w:rsidP="0072340E">
      <w:pPr>
        <w:pStyle w:val="NoSpacing"/>
        <w:numPr>
          <w:ilvl w:val="0"/>
          <w:numId w:val="2"/>
        </w:numPr>
        <w:jc w:val="both"/>
      </w:pPr>
      <w:r>
        <w:t>a statement whenever a major organ (heart, brain) is retained after autopsy for further</w:t>
      </w:r>
      <w:r w:rsidR="006D412C">
        <w:t xml:space="preserve"> </w:t>
      </w:r>
      <w:r>
        <w:t>study either by OCME personnel or a consultant.</w:t>
      </w:r>
    </w:p>
    <w:p w14:paraId="7DF6A2EF" w14:textId="77777777" w:rsidR="0072340E" w:rsidRDefault="0072340E" w:rsidP="006D412C">
      <w:pPr>
        <w:pStyle w:val="NoSpacing"/>
        <w:numPr>
          <w:ilvl w:val="0"/>
          <w:numId w:val="1"/>
        </w:numPr>
        <w:jc w:val="both"/>
      </w:pPr>
      <w:r>
        <w:t>Narrative reports are dictated into a pathologist's digital recording device.</w:t>
      </w:r>
    </w:p>
    <w:p w14:paraId="7DF6A2F0" w14:textId="77777777" w:rsidR="006D412C" w:rsidRDefault="0072340E" w:rsidP="0072340E">
      <w:pPr>
        <w:pStyle w:val="NoSpacing"/>
        <w:numPr>
          <w:ilvl w:val="0"/>
          <w:numId w:val="3"/>
        </w:numPr>
        <w:jc w:val="both"/>
      </w:pPr>
      <w:r>
        <w:t>The device loads the recording into the pathologist's personal computer, and specific software allows transmission of digital recording to off-site contracted transcription serv</w:t>
      </w:r>
      <w:r w:rsidR="006D412C">
        <w:t>i</w:t>
      </w:r>
      <w:r>
        <w:t>ce.</w:t>
      </w:r>
    </w:p>
    <w:p w14:paraId="7DF6A2F1" w14:textId="77777777" w:rsidR="006D412C" w:rsidRDefault="0072340E" w:rsidP="0072340E">
      <w:pPr>
        <w:pStyle w:val="NoSpacing"/>
        <w:numPr>
          <w:ilvl w:val="0"/>
          <w:numId w:val="3"/>
        </w:numPr>
        <w:jc w:val="both"/>
      </w:pPr>
      <w:r>
        <w:t xml:space="preserve">Transcription service transcribes the dictation and </w:t>
      </w:r>
      <w:r w:rsidR="00244568">
        <w:t>electronically transfer to OCME</w:t>
      </w:r>
      <w:r>
        <w:t>.</w:t>
      </w:r>
    </w:p>
    <w:p w14:paraId="7DF6A2F2" w14:textId="77777777" w:rsidR="006D412C" w:rsidRDefault="0072340E" w:rsidP="0072340E">
      <w:pPr>
        <w:pStyle w:val="NoSpacing"/>
        <w:numPr>
          <w:ilvl w:val="0"/>
          <w:numId w:val="3"/>
        </w:numPr>
        <w:jc w:val="both"/>
      </w:pPr>
      <w:r>
        <w:t>Medical Secretaries download the drafts daily and save a copy to our Intranet folder.</w:t>
      </w:r>
    </w:p>
    <w:p w14:paraId="7DF6A2F3" w14:textId="77777777" w:rsidR="0072340E" w:rsidRDefault="0072340E" w:rsidP="0072340E">
      <w:pPr>
        <w:pStyle w:val="NoSpacing"/>
        <w:numPr>
          <w:ilvl w:val="0"/>
          <w:numId w:val="3"/>
        </w:numPr>
        <w:jc w:val="both"/>
      </w:pPr>
      <w:r>
        <w:t>Reports are reviewed and amended, if necessary.</w:t>
      </w:r>
    </w:p>
    <w:p w14:paraId="7DF6A2F4" w14:textId="77777777" w:rsidR="006D412C" w:rsidRDefault="0072340E" w:rsidP="0072340E">
      <w:pPr>
        <w:pStyle w:val="NoSpacing"/>
        <w:numPr>
          <w:ilvl w:val="0"/>
          <w:numId w:val="1"/>
        </w:numPr>
        <w:jc w:val="both"/>
      </w:pPr>
      <w:r>
        <w:t>Written notes taken and/or diagrams prepared during autopsy are filed by the examining</w:t>
      </w:r>
      <w:r w:rsidR="006D412C">
        <w:t xml:space="preserve"> </w:t>
      </w:r>
      <w:r>
        <w:t>pathologist in the case folder.</w:t>
      </w:r>
    </w:p>
    <w:p w14:paraId="7DF6A2F5" w14:textId="77777777" w:rsidR="0072340E" w:rsidRDefault="0072340E" w:rsidP="0072340E">
      <w:pPr>
        <w:pStyle w:val="NoSpacing"/>
        <w:numPr>
          <w:ilvl w:val="0"/>
          <w:numId w:val="1"/>
        </w:numPr>
        <w:jc w:val="both"/>
      </w:pPr>
      <w:r>
        <w:t>Final, typed autopsy reports are signed and dated by the examining pathologist. The</w:t>
      </w:r>
      <w:r w:rsidR="006D412C">
        <w:t xml:space="preserve"> </w:t>
      </w:r>
      <w:r>
        <w:t>standard format for the report includes:</w:t>
      </w:r>
    </w:p>
    <w:p w14:paraId="7DF6A2F6" w14:textId="77777777" w:rsidR="006D412C" w:rsidRDefault="0072340E" w:rsidP="0072340E">
      <w:pPr>
        <w:pStyle w:val="NoSpacing"/>
        <w:numPr>
          <w:ilvl w:val="0"/>
          <w:numId w:val="4"/>
        </w:numPr>
        <w:jc w:val="both"/>
      </w:pPr>
      <w:r>
        <w:t>the name and title of the examining pathologist;</w:t>
      </w:r>
    </w:p>
    <w:p w14:paraId="7DF6A2F7" w14:textId="77777777" w:rsidR="006D412C" w:rsidRDefault="006D412C" w:rsidP="006D412C">
      <w:pPr>
        <w:pStyle w:val="NoSpacing"/>
        <w:numPr>
          <w:ilvl w:val="0"/>
          <w:numId w:val="4"/>
        </w:numPr>
        <w:jc w:val="both"/>
      </w:pPr>
      <w:r>
        <w:t>the information listed in #1</w:t>
      </w:r>
      <w:r w:rsidR="0072340E">
        <w:t>.a)-</w:t>
      </w:r>
      <w:r>
        <w:t>1</w:t>
      </w:r>
      <w:r w:rsidR="0072340E">
        <w:t>.f) above;</w:t>
      </w:r>
    </w:p>
    <w:p w14:paraId="7DF6A2F8" w14:textId="77777777" w:rsidR="006D412C" w:rsidRDefault="0072340E" w:rsidP="006D412C">
      <w:pPr>
        <w:pStyle w:val="NoSpacing"/>
        <w:numPr>
          <w:ilvl w:val="0"/>
          <w:numId w:val="4"/>
        </w:numPr>
      </w:pPr>
      <w:r>
        <w:t>descriptions of findings to support diagnoses, opinions, and conclusions; specifically</w:t>
      </w:r>
      <w:r w:rsidR="006D412C">
        <w:t xml:space="preserve"> including </w:t>
      </w:r>
      <w:r>
        <w:t>an Injuries section.</w:t>
      </w:r>
    </w:p>
    <w:p w14:paraId="7DF6A2F9" w14:textId="77777777" w:rsidR="006D412C" w:rsidRDefault="0072340E" w:rsidP="0072340E">
      <w:pPr>
        <w:pStyle w:val="NoSpacing"/>
        <w:numPr>
          <w:ilvl w:val="0"/>
          <w:numId w:val="4"/>
        </w:numPr>
        <w:jc w:val="both"/>
      </w:pPr>
      <w:r>
        <w:t>toxicological test results and results of other examinations or consultations</w:t>
      </w:r>
    </w:p>
    <w:p w14:paraId="7DF6A2FA" w14:textId="77777777" w:rsidR="006D412C" w:rsidRDefault="0072340E" w:rsidP="0072340E">
      <w:pPr>
        <w:pStyle w:val="NoSpacing"/>
        <w:numPr>
          <w:ilvl w:val="0"/>
          <w:numId w:val="4"/>
        </w:numPr>
        <w:jc w:val="both"/>
      </w:pPr>
      <w:r>
        <w:t>a list of the diagnoses and interpretations identified in the reports;</w:t>
      </w:r>
    </w:p>
    <w:p w14:paraId="7DF6A2FB" w14:textId="77777777" w:rsidR="0072340E" w:rsidRDefault="0072340E" w:rsidP="0072340E">
      <w:pPr>
        <w:pStyle w:val="NoSpacing"/>
        <w:numPr>
          <w:ilvl w:val="0"/>
          <w:numId w:val="4"/>
        </w:numPr>
        <w:jc w:val="both"/>
      </w:pPr>
      <w:r>
        <w:t>cause and manner of death.</w:t>
      </w:r>
    </w:p>
    <w:p w14:paraId="7DF6A2FC" w14:textId="77777777" w:rsidR="0072340E" w:rsidRDefault="0072340E" w:rsidP="006D412C">
      <w:pPr>
        <w:pStyle w:val="NoSpacing"/>
        <w:numPr>
          <w:ilvl w:val="0"/>
          <w:numId w:val="1"/>
        </w:numPr>
        <w:jc w:val="both"/>
      </w:pPr>
      <w:r>
        <w:t>The regulations of the Commission on Medicolegal Investigations make the autopsy report available to:</w:t>
      </w:r>
    </w:p>
    <w:p w14:paraId="7DF6A2FD" w14:textId="77777777" w:rsidR="006D412C" w:rsidRDefault="0072340E" w:rsidP="0072340E">
      <w:pPr>
        <w:pStyle w:val="NoSpacing"/>
        <w:numPr>
          <w:ilvl w:val="0"/>
          <w:numId w:val="6"/>
        </w:numPr>
        <w:jc w:val="both"/>
      </w:pPr>
      <w:r>
        <w:t>the family of the deceased;</w:t>
      </w:r>
    </w:p>
    <w:p w14:paraId="7DF6A2FE" w14:textId="77777777" w:rsidR="006D412C" w:rsidRDefault="0072340E" w:rsidP="0072340E">
      <w:pPr>
        <w:pStyle w:val="NoSpacing"/>
        <w:numPr>
          <w:ilvl w:val="0"/>
          <w:numId w:val="6"/>
        </w:numPr>
        <w:jc w:val="both"/>
      </w:pPr>
      <w:r>
        <w:t>state or municipal government agencies or a public health authority investigating the death;</w:t>
      </w:r>
    </w:p>
    <w:p w14:paraId="7DF6A2FF" w14:textId="77777777" w:rsidR="006D412C" w:rsidRDefault="0072340E" w:rsidP="0072340E">
      <w:pPr>
        <w:pStyle w:val="NoSpacing"/>
        <w:numPr>
          <w:ilvl w:val="0"/>
          <w:numId w:val="6"/>
        </w:numPr>
        <w:jc w:val="both"/>
      </w:pPr>
      <w:r>
        <w:t>insurance companies with a legitimate interest in the death;</w:t>
      </w:r>
    </w:p>
    <w:p w14:paraId="7DF6A300" w14:textId="77777777" w:rsidR="006D412C" w:rsidRDefault="0072340E" w:rsidP="0072340E">
      <w:pPr>
        <w:pStyle w:val="NoSpacing"/>
        <w:numPr>
          <w:ilvl w:val="0"/>
          <w:numId w:val="6"/>
        </w:numPr>
        <w:jc w:val="both"/>
      </w:pPr>
      <w:r>
        <w:lastRenderedPageBreak/>
        <w:t>all parties in civil litigation proceedings;</w:t>
      </w:r>
    </w:p>
    <w:p w14:paraId="7DF6A301" w14:textId="77777777" w:rsidR="00624B77" w:rsidRDefault="0072340E" w:rsidP="0072340E">
      <w:pPr>
        <w:pStyle w:val="NoSpacing"/>
        <w:numPr>
          <w:ilvl w:val="0"/>
          <w:numId w:val="6"/>
        </w:numPr>
        <w:jc w:val="both"/>
      </w:pPr>
      <w:r>
        <w:t>all physicians who treated the deceased.</w:t>
      </w:r>
    </w:p>
    <w:sectPr w:rsidR="00624B77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6A304" w14:textId="77777777" w:rsidR="0072340E" w:rsidRDefault="0072340E" w:rsidP="0072340E">
      <w:pPr>
        <w:spacing w:after="0" w:line="240" w:lineRule="auto"/>
      </w:pPr>
      <w:r>
        <w:separator/>
      </w:r>
    </w:p>
  </w:endnote>
  <w:endnote w:type="continuationSeparator" w:id="0">
    <w:p w14:paraId="7DF6A305" w14:textId="77777777" w:rsidR="0072340E" w:rsidRDefault="0072340E" w:rsidP="0072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A309" w14:textId="77777777" w:rsidR="006D412C" w:rsidRDefault="006D412C" w:rsidP="006D412C">
    <w:pPr>
      <w:pStyle w:val="NoSpacing"/>
      <w:jc w:val="both"/>
    </w:pPr>
    <w:r>
      <w:t>Developed: March 2006</w:t>
    </w:r>
  </w:p>
  <w:p w14:paraId="7DF6A30A" w14:textId="77777777" w:rsidR="006D412C" w:rsidRDefault="006D412C" w:rsidP="006D412C">
    <w:pPr>
      <w:pStyle w:val="NoSpacing"/>
      <w:jc w:val="both"/>
    </w:pPr>
    <w:r>
      <w:t>Reviewed: March 2011; Revised May 2011, reviewed June 2014, Sept 2015</w:t>
    </w:r>
  </w:p>
  <w:p w14:paraId="7DF6A30B" w14:textId="77777777" w:rsidR="006D412C" w:rsidRDefault="006D412C" w:rsidP="006D412C">
    <w:pPr>
      <w:pStyle w:val="NoSpacing"/>
      <w:jc w:val="both"/>
    </w:pPr>
    <w:r>
      <w:t>Revised: Sept 2016</w:t>
    </w:r>
    <w:r w:rsidR="00244568">
      <w:t>, Sept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6A302" w14:textId="77777777" w:rsidR="0072340E" w:rsidRDefault="0072340E" w:rsidP="0072340E">
      <w:pPr>
        <w:spacing w:after="0" w:line="240" w:lineRule="auto"/>
      </w:pPr>
      <w:r>
        <w:separator/>
      </w:r>
    </w:p>
  </w:footnote>
  <w:footnote w:type="continuationSeparator" w:id="0">
    <w:p w14:paraId="7DF6A303" w14:textId="77777777" w:rsidR="0072340E" w:rsidRDefault="0072340E" w:rsidP="0072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A306" w14:textId="77777777" w:rsidR="0072340E" w:rsidRDefault="0072340E" w:rsidP="0072340E">
    <w:pPr>
      <w:pStyle w:val="NoSpacing"/>
      <w:jc w:val="both"/>
    </w:pPr>
    <w:r>
      <w:t xml:space="preserve">Office of the Connecticut Chief Medical Examiner, State of CT   </w:t>
    </w:r>
    <w:r>
      <w:tab/>
    </w:r>
    <w:r>
      <w:tab/>
      <w:t>Records &amp; Record-Keeping</w:t>
    </w:r>
  </w:p>
  <w:p w14:paraId="7DF6A307" w14:textId="77777777" w:rsidR="0072340E" w:rsidRDefault="0072340E" w:rsidP="0072340E">
    <w:pPr>
      <w:pStyle w:val="NoSpacing"/>
      <w:jc w:val="both"/>
    </w:pPr>
    <w:r>
      <w:t>Policies &amp; Procedures</w:t>
    </w:r>
  </w:p>
  <w:p w14:paraId="7DF6A308" w14:textId="77777777" w:rsidR="0072340E" w:rsidRDefault="0072340E" w:rsidP="0072340E">
    <w:pPr>
      <w:pStyle w:val="NoSpacing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03D3C"/>
    <w:multiLevelType w:val="hybridMultilevel"/>
    <w:tmpl w:val="AAFAC252"/>
    <w:lvl w:ilvl="0" w:tplc="04090017">
      <w:start w:val="1"/>
      <w:numFmt w:val="lowerLetter"/>
      <w:lvlText w:val="%1)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" w15:restartNumberingAfterBreak="0">
    <w:nsid w:val="23AD4F51"/>
    <w:multiLevelType w:val="hybridMultilevel"/>
    <w:tmpl w:val="50EE1944"/>
    <w:lvl w:ilvl="0" w:tplc="04090017">
      <w:start w:val="1"/>
      <w:numFmt w:val="lowerLetter"/>
      <w:lvlText w:val="%1)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" w15:restartNumberingAfterBreak="0">
    <w:nsid w:val="333364D3"/>
    <w:multiLevelType w:val="hybridMultilevel"/>
    <w:tmpl w:val="A0706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032BE"/>
    <w:multiLevelType w:val="hybridMultilevel"/>
    <w:tmpl w:val="B4CEB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745AF"/>
    <w:multiLevelType w:val="hybridMultilevel"/>
    <w:tmpl w:val="315C0BFC"/>
    <w:lvl w:ilvl="0" w:tplc="04090017">
      <w:start w:val="1"/>
      <w:numFmt w:val="lowerLetter"/>
      <w:lvlText w:val="%1)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5" w15:restartNumberingAfterBreak="0">
    <w:nsid w:val="61E429A6"/>
    <w:multiLevelType w:val="hybridMultilevel"/>
    <w:tmpl w:val="0DB2B8B8"/>
    <w:lvl w:ilvl="0" w:tplc="04090017">
      <w:start w:val="1"/>
      <w:numFmt w:val="lowerLetter"/>
      <w:lvlText w:val="%1)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num w:numId="1" w16cid:durableId="14811202">
    <w:abstractNumId w:val="3"/>
  </w:num>
  <w:num w:numId="2" w16cid:durableId="1180462692">
    <w:abstractNumId w:val="4"/>
  </w:num>
  <w:num w:numId="3" w16cid:durableId="81613093">
    <w:abstractNumId w:val="1"/>
  </w:num>
  <w:num w:numId="4" w16cid:durableId="436145652">
    <w:abstractNumId w:val="0"/>
  </w:num>
  <w:num w:numId="5" w16cid:durableId="829713137">
    <w:abstractNumId w:val="2"/>
  </w:num>
  <w:num w:numId="6" w16cid:durableId="1317298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40E"/>
    <w:rsid w:val="0021636D"/>
    <w:rsid w:val="00244568"/>
    <w:rsid w:val="002D3CB5"/>
    <w:rsid w:val="00624B77"/>
    <w:rsid w:val="006D412C"/>
    <w:rsid w:val="0072340E"/>
    <w:rsid w:val="00FF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6A2E0"/>
  <w15:chartTrackingRefBased/>
  <w15:docId w15:val="{0BA407D0-E45E-4A34-AFAA-E12E8650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4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40E"/>
  </w:style>
  <w:style w:type="paragraph" w:styleId="Footer">
    <w:name w:val="footer"/>
    <w:basedOn w:val="Normal"/>
    <w:link w:val="FooterChar"/>
    <w:uiPriority w:val="99"/>
    <w:unhideWhenUsed/>
    <w:rsid w:val="007234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40E"/>
  </w:style>
  <w:style w:type="paragraph" w:styleId="NoSpacing">
    <w:name w:val="No Spacing"/>
    <w:uiPriority w:val="1"/>
    <w:qFormat/>
    <w:rsid w:val="007234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045DBF-6BC7-4FB4-9735-A1EE067D86AC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D3AD3F-E6CA-42EB-973C-0E2B82A8B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4727EF-0669-495E-870A-C992DF35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Kristo</dc:creator>
  <cp:keywords/>
  <dc:description/>
  <cp:lastModifiedBy>Chisholm, Yujiemi</cp:lastModifiedBy>
  <cp:revision>2</cp:revision>
  <dcterms:created xsi:type="dcterms:W3CDTF">2025-06-23T19:30:00Z</dcterms:created>
  <dcterms:modified xsi:type="dcterms:W3CDTF">2025-06-23T19:30:00Z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